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</w:p>
    <w:p w:rsidR="00236559" w:rsidRDefault="00236559" w:rsidP="0023655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36559" w:rsidRDefault="00236559" w:rsidP="00236559">
      <w:pPr>
        <w:jc w:val="center"/>
        <w:rPr>
          <w:rFonts w:asciiTheme="minorHAnsi" w:hAnsiTheme="minorHAnsi"/>
          <w:b/>
          <w:sz w:val="32"/>
          <w:szCs w:val="32"/>
        </w:rPr>
      </w:pPr>
    </w:p>
    <w:p w:rsidR="006E6F20" w:rsidRDefault="006E6F20" w:rsidP="00236559">
      <w:pPr>
        <w:jc w:val="center"/>
        <w:rPr>
          <w:rFonts w:asciiTheme="minorHAnsi" w:hAnsiTheme="minorHAnsi"/>
          <w:b/>
          <w:sz w:val="32"/>
          <w:szCs w:val="32"/>
        </w:rPr>
      </w:pPr>
    </w:p>
    <w:p w:rsidR="004D60EB" w:rsidRDefault="004D60EB" w:rsidP="00236559">
      <w:pPr>
        <w:jc w:val="center"/>
        <w:rPr>
          <w:rFonts w:asciiTheme="minorHAnsi" w:hAnsiTheme="minorHAnsi"/>
          <w:b/>
          <w:sz w:val="32"/>
          <w:szCs w:val="32"/>
        </w:rPr>
      </w:pPr>
      <w:r w:rsidRPr="00236559">
        <w:rPr>
          <w:rFonts w:asciiTheme="minorHAnsi" w:hAnsiTheme="minorHAnsi"/>
          <w:b/>
          <w:sz w:val="32"/>
          <w:szCs w:val="32"/>
        </w:rPr>
        <w:t>Informationen für Schulleitungen</w:t>
      </w:r>
    </w:p>
    <w:p w:rsidR="00236559" w:rsidRDefault="00236559" w:rsidP="0023655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6E6F20" w:rsidRPr="00236559" w:rsidRDefault="006E6F20" w:rsidP="00236559">
      <w:pPr>
        <w:jc w:val="center"/>
        <w:rPr>
          <w:rFonts w:asciiTheme="minorHAnsi" w:hAnsiTheme="minorHAnsi"/>
          <w:b/>
          <w:sz w:val="32"/>
          <w:szCs w:val="32"/>
        </w:rPr>
      </w:pPr>
    </w:p>
    <w:p w:rsidR="004D60EB" w:rsidRPr="00236559" w:rsidRDefault="004D60EB" w:rsidP="004D60EB">
      <w:pPr>
        <w:rPr>
          <w:rFonts w:asciiTheme="minorHAnsi" w:hAnsiTheme="minorHAnsi"/>
        </w:rPr>
      </w:pPr>
      <w:r w:rsidRPr="00236559">
        <w:rPr>
          <w:rFonts w:asciiTheme="minorHAnsi" w:hAnsiTheme="minorHAnsi"/>
        </w:rPr>
        <w:t xml:space="preserve">Wir haben hier einige wichtige Informationen zu Themen, </w:t>
      </w:r>
      <w:r w:rsidR="00236559">
        <w:rPr>
          <w:rFonts w:asciiTheme="minorHAnsi" w:hAnsiTheme="minorHAnsi"/>
        </w:rPr>
        <w:t>zu denen uns immer wieder Fragen erreichen</w:t>
      </w:r>
      <w:r w:rsidRPr="00236559">
        <w:rPr>
          <w:rFonts w:asciiTheme="minorHAnsi" w:hAnsiTheme="minorHAnsi"/>
        </w:rPr>
        <w:t>, für Sie zusammengestellt.</w:t>
      </w:r>
    </w:p>
    <w:p w:rsidR="004D60EB" w:rsidRDefault="004D60EB" w:rsidP="004D60EB">
      <w:pPr>
        <w:spacing w:line="240" w:lineRule="auto"/>
        <w:rPr>
          <w:rFonts w:ascii="Calibri" w:hAnsi="Calibri"/>
          <w:b/>
          <w:bCs/>
          <w:color w:val="000000"/>
        </w:rPr>
      </w:pPr>
    </w:p>
    <w:p w:rsidR="00236559" w:rsidRDefault="00236559" w:rsidP="004D60EB">
      <w:pPr>
        <w:spacing w:line="240" w:lineRule="auto"/>
        <w:rPr>
          <w:rFonts w:ascii="Calibri" w:hAnsi="Calibri"/>
          <w:b/>
          <w:bCs/>
          <w:color w:val="000000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000000"/>
        </w:rPr>
        <w:t>Doppelbesuche</w:t>
      </w:r>
      <w:r>
        <w:rPr>
          <w:rFonts w:ascii="Calibri" w:hAnsi="Calibri"/>
          <w:color w:val="212121"/>
        </w:rPr>
        <w:t>: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 xml:space="preserve">Die </w:t>
      </w:r>
      <w:proofErr w:type="spellStart"/>
      <w:r>
        <w:rPr>
          <w:rFonts w:ascii="Calibri" w:hAnsi="Calibri"/>
          <w:color w:val="212121"/>
        </w:rPr>
        <w:t>LiV</w:t>
      </w:r>
      <w:proofErr w:type="spellEnd"/>
      <w:r>
        <w:rPr>
          <w:rFonts w:ascii="Calibri" w:hAnsi="Calibri"/>
          <w:color w:val="212121"/>
        </w:rPr>
        <w:t xml:space="preserve"> haben die Möglichkeit,  Unterrichtsbesuche zu „doppeln“</w:t>
      </w:r>
      <w:r>
        <w:rPr>
          <w:rFonts w:ascii="Calibri" w:hAnsi="Calibri"/>
          <w:color w:val="000000"/>
        </w:rPr>
        <w:t>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212121"/>
        </w:rPr>
        <w:t>m 1. Hauptsemester können maximal zwei Unterrichtsbesuche in den Fächern mit EBB oder Diversität verbunden werden</w:t>
      </w:r>
      <w:r>
        <w:rPr>
          <w:rFonts w:ascii="Calibri" w:hAnsi="Calibri"/>
          <w:color w:val="000000"/>
        </w:rPr>
        <w:t>; wobei je</w:t>
      </w:r>
      <w:r w:rsidR="00236559">
        <w:rPr>
          <w:rFonts w:ascii="Calibri" w:hAnsi="Calibri"/>
          <w:color w:val="000000"/>
        </w:rPr>
        <w:t>weils</w:t>
      </w:r>
      <w:r>
        <w:rPr>
          <w:rFonts w:ascii="Calibri" w:hAnsi="Calibri"/>
          <w:color w:val="000000"/>
        </w:rPr>
        <w:t xml:space="preserve"> ein Fach mit einem der allgemeinpädagogischen Module gekoppelt wird.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212121"/>
        </w:rPr>
        <w:t>m 2. Hauptsemester gibt es die Möglichkeit einer Dopplung der Fächer mit DFB</w:t>
      </w:r>
      <w:r>
        <w:rPr>
          <w:rFonts w:ascii="Calibri" w:hAnsi="Calibri"/>
          <w:color w:val="000000"/>
        </w:rPr>
        <w:t>. In der Regel wird ein Fach zwei Mal gekoppelt (idealerweise eines der Fächer Deutsch und Mathematik)</w:t>
      </w:r>
      <w:r>
        <w:rPr>
          <w:rFonts w:ascii="Calibri" w:hAnsi="Calibri"/>
          <w:color w:val="212121"/>
        </w:rPr>
        <w:t>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Diese Möglichkeit ist ein </w:t>
      </w:r>
      <w:r>
        <w:rPr>
          <w:rFonts w:ascii="Calibri" w:hAnsi="Calibri"/>
          <w:color w:val="212121"/>
          <w:u w:val="single"/>
        </w:rPr>
        <w:t xml:space="preserve">Angebot </w:t>
      </w:r>
      <w:r>
        <w:rPr>
          <w:rFonts w:ascii="Calibri" w:hAnsi="Calibri"/>
          <w:color w:val="212121"/>
        </w:rPr>
        <w:t xml:space="preserve">an die </w:t>
      </w:r>
      <w:proofErr w:type="spellStart"/>
      <w:r>
        <w:rPr>
          <w:rFonts w:ascii="Calibri" w:hAnsi="Calibri"/>
          <w:color w:val="212121"/>
        </w:rPr>
        <w:t>LiV</w:t>
      </w:r>
      <w:proofErr w:type="spellEnd"/>
      <w:r>
        <w:rPr>
          <w:rFonts w:ascii="Calibri" w:hAnsi="Calibri"/>
          <w:color w:val="212121"/>
        </w:rPr>
        <w:t xml:space="preserve">. Es </w:t>
      </w:r>
      <w:proofErr w:type="gramStart"/>
      <w:r>
        <w:rPr>
          <w:rFonts w:ascii="Calibri" w:hAnsi="Calibri"/>
          <w:color w:val="212121"/>
        </w:rPr>
        <w:t>besteht</w:t>
      </w:r>
      <w:proofErr w:type="gramEnd"/>
      <w:r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  <w:u w:val="single"/>
        </w:rPr>
        <w:t>kein Anspruch</w:t>
      </w:r>
      <w:r>
        <w:rPr>
          <w:rFonts w:ascii="Calibri" w:hAnsi="Calibri"/>
          <w:color w:val="212121"/>
        </w:rPr>
        <w:t xml:space="preserve"> darauf und auch </w:t>
      </w:r>
      <w:r>
        <w:rPr>
          <w:rFonts w:ascii="Calibri" w:hAnsi="Calibri"/>
          <w:color w:val="212121"/>
          <w:u w:val="single"/>
        </w:rPr>
        <w:t>keine Pflicht</w:t>
      </w:r>
      <w:r>
        <w:rPr>
          <w:rFonts w:ascii="Calibri" w:hAnsi="Calibri"/>
          <w:color w:val="212121"/>
        </w:rPr>
        <w:t xml:space="preserve"> zur Dopplung. Dieser Hinweis ist insbesondere mit Blick auf die sich eventuell daraus ergebenden - so gesehen aber nicht zwingend notwendigen - Stundenplanverschiebungen rel</w:t>
      </w:r>
      <w:r>
        <w:rPr>
          <w:rFonts w:ascii="Calibri" w:hAnsi="Calibri"/>
          <w:color w:val="212121"/>
        </w:rPr>
        <w:t>e</w:t>
      </w:r>
      <w:r>
        <w:rPr>
          <w:rFonts w:ascii="Calibri" w:hAnsi="Calibri"/>
          <w:color w:val="212121"/>
        </w:rPr>
        <w:t>vant.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Terminfindung 2. Staatsprüfung: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Die Lehrkräfte im Vorbereitungsdienst müssen (je nach Einstellungstermin)</w:t>
      </w:r>
      <w:r w:rsidR="006E6F2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zum 01.06. bzw. zum 01.12.</w:t>
      </w:r>
      <w:r>
        <w:rPr>
          <w:rFonts w:ascii="Calibri" w:hAnsi="Calibri"/>
          <w:color w:val="000000"/>
        </w:rPr>
        <w:t xml:space="preserve"> ein Formular abgeben („Angaben zur Vorbereitung der 2. Staatsprüfung</w:t>
      </w:r>
      <w:proofErr w:type="gramStart"/>
      <w:r>
        <w:rPr>
          <w:rFonts w:ascii="Calibri" w:hAnsi="Calibri"/>
          <w:color w:val="000000"/>
        </w:rPr>
        <w:t>“ )</w:t>
      </w:r>
      <w:proofErr w:type="gramEnd"/>
      <w:r>
        <w:rPr>
          <w:rFonts w:ascii="Calibri" w:hAnsi="Calibri"/>
          <w:color w:val="000000"/>
        </w:rPr>
        <w:t>, auf dem</w:t>
      </w:r>
    </w:p>
    <w:p w:rsidR="004D60EB" w:rsidRDefault="006E6F20" w:rsidP="004D60EB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neben allgemeinen Angaben</w:t>
      </w:r>
      <w:r w:rsidR="004D60EB">
        <w:rPr>
          <w:rFonts w:ascii="Calibri" w:hAnsi="Calibri"/>
          <w:color w:val="000000"/>
        </w:rPr>
        <w:t xml:space="preserve"> zur </w:t>
      </w:r>
      <w:proofErr w:type="spellStart"/>
      <w:r w:rsidR="004D60EB">
        <w:rPr>
          <w:rFonts w:ascii="Calibri" w:hAnsi="Calibri"/>
          <w:color w:val="000000"/>
        </w:rPr>
        <w:t>LiV</w:t>
      </w:r>
      <w:proofErr w:type="spellEnd"/>
      <w:r w:rsidR="004D60EB">
        <w:rPr>
          <w:rFonts w:ascii="Calibri" w:hAnsi="Calibri"/>
          <w:color w:val="000000"/>
        </w:rPr>
        <w:t xml:space="preserve"> und zur Schule z.B. auch das Mitglied der Schulleitung in der Prüfung genannt wird. Darüber hinaus kann ein Wunschtermin genannt werden (Kalende</w:t>
      </w:r>
      <w:r w:rsidR="004D60EB">
        <w:rPr>
          <w:rFonts w:ascii="Calibri" w:hAnsi="Calibri"/>
          <w:color w:val="000000"/>
        </w:rPr>
        <w:t>r</w:t>
      </w:r>
      <w:r w:rsidR="004D60EB">
        <w:rPr>
          <w:rFonts w:ascii="Calibri" w:hAnsi="Calibri"/>
          <w:color w:val="000000"/>
        </w:rPr>
        <w:t xml:space="preserve">woche). Auch können ungünstige Termine oder Tage ausgeschlossen werden. Dazu werden die </w:t>
      </w:r>
      <w:proofErr w:type="spellStart"/>
      <w:r w:rsidR="004D60EB">
        <w:rPr>
          <w:rFonts w:ascii="Calibri" w:hAnsi="Calibri"/>
          <w:color w:val="000000"/>
        </w:rPr>
        <w:t>LiV</w:t>
      </w:r>
      <w:proofErr w:type="spellEnd"/>
      <w:r w:rsidR="004D60EB">
        <w:rPr>
          <w:rFonts w:ascii="Calibri" w:hAnsi="Calibri"/>
          <w:color w:val="000000"/>
        </w:rPr>
        <w:t xml:space="preserve"> aufgefordert, den Wunschtermin  mit Ihren Mentorinnen und Mentoren und natürlich mit </w:t>
      </w:r>
      <w:r>
        <w:rPr>
          <w:rFonts w:ascii="Calibri" w:hAnsi="Calibri"/>
          <w:color w:val="000000"/>
        </w:rPr>
        <w:t>der Schulleitung</w:t>
      </w:r>
      <w:r w:rsidR="004D60EB">
        <w:rPr>
          <w:rFonts w:ascii="Calibri" w:hAnsi="Calibri"/>
          <w:color w:val="000000"/>
        </w:rPr>
        <w:t xml:space="preserve"> abzustimmen.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6E6F20" w:rsidRDefault="006E6F20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Ausbildungsveranstaltung </w:t>
      </w:r>
      <w:r>
        <w:rPr>
          <w:rFonts w:ascii="Calibri" w:hAnsi="Calibri"/>
          <w:b/>
          <w:bCs/>
          <w:color w:val="212121"/>
        </w:rPr>
        <w:t>V</w:t>
      </w:r>
      <w:r w:rsidR="002379F6">
        <w:rPr>
          <w:rFonts w:ascii="Calibri" w:hAnsi="Calibri"/>
          <w:b/>
          <w:bCs/>
          <w:color w:val="212121"/>
        </w:rPr>
        <w:t>SMS</w:t>
      </w:r>
      <w:r>
        <w:rPr>
          <w:rFonts w:ascii="Calibri" w:hAnsi="Calibri"/>
          <w:b/>
          <w:bCs/>
          <w:color w:val="000000"/>
        </w:rPr>
        <w:t xml:space="preserve"> (Mitgestaltung Selbständigkeit von Schule):</w:t>
      </w: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</w:p>
    <w:p w:rsidR="004D60EB" w:rsidRDefault="004D60EB" w:rsidP="004D60EB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Mit dem Inkrafttreten der Durchführungsverordnung (DV) wurde die Ausbildungsveranstaltung „Unterrichts- und Schulentwicklung mit dem Schwerpunkt Mitgestaltung der Se</w:t>
      </w:r>
      <w:r w:rsidR="002379F6">
        <w:rPr>
          <w:rFonts w:ascii="Calibri" w:hAnsi="Calibri"/>
          <w:color w:val="000000"/>
        </w:rPr>
        <w:t>lbstständigkeit von Schule (VSMS</w:t>
      </w:r>
      <w:r>
        <w:rPr>
          <w:rFonts w:ascii="Calibri" w:hAnsi="Calibri"/>
          <w:color w:val="000000"/>
        </w:rPr>
        <w:t>)“etabliert.</w:t>
      </w:r>
    </w:p>
    <w:p w:rsidR="004D60EB" w:rsidRDefault="004D60EB" w:rsidP="004D60EB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 löst das durch die Schulleitung bewertete Modul „Schule mitgestalten und entwickeln (SME)“ ab und ist sowohl bezüglich des Status als auch der Inhalte deutlich „entlastet“ worden.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Pr="006E6F20" w:rsidRDefault="004D60EB" w:rsidP="004D60EB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6E6F20">
        <w:rPr>
          <w:color w:val="212121"/>
          <w:sz w:val="24"/>
          <w:szCs w:val="24"/>
        </w:rPr>
        <w:t xml:space="preserve">Es handelt sich um eine </w:t>
      </w:r>
      <w:proofErr w:type="spellStart"/>
      <w:r w:rsidRPr="006E6F20">
        <w:rPr>
          <w:b/>
          <w:bCs/>
          <w:color w:val="212121"/>
          <w:sz w:val="24"/>
          <w:szCs w:val="24"/>
        </w:rPr>
        <w:t>unbewertete</w:t>
      </w:r>
      <w:proofErr w:type="spellEnd"/>
      <w:r w:rsidRPr="006E6F20">
        <w:rPr>
          <w:b/>
          <w:bCs/>
          <w:color w:val="212121"/>
          <w:sz w:val="24"/>
          <w:szCs w:val="24"/>
        </w:rPr>
        <w:t xml:space="preserve"> Ausbildungsveranstaltung</w:t>
      </w:r>
      <w:r w:rsidRPr="006E6F20">
        <w:rPr>
          <w:color w:val="212121"/>
          <w:sz w:val="24"/>
          <w:szCs w:val="24"/>
        </w:rPr>
        <w:t xml:space="preserve">, die mit </w:t>
      </w:r>
      <w:r w:rsidR="002379F6">
        <w:rPr>
          <w:color w:val="212121"/>
          <w:sz w:val="24"/>
          <w:szCs w:val="24"/>
        </w:rPr>
        <w:t xml:space="preserve">ein bis </w:t>
      </w:r>
      <w:r w:rsidRPr="006E6F20">
        <w:rPr>
          <w:color w:val="212121"/>
          <w:sz w:val="24"/>
          <w:szCs w:val="24"/>
        </w:rPr>
        <w:t>zwei zweieinhalbstündigen Sitzungen im 1. und 2. Hauptsemester vom Studienseminar initiiert und begleitet wird.</w:t>
      </w:r>
    </w:p>
    <w:p w:rsidR="004D60EB" w:rsidRPr="006E6F20" w:rsidRDefault="004D60EB" w:rsidP="004D60EB">
      <w:pPr>
        <w:pStyle w:val="Listenabsatz"/>
        <w:ind w:left="567"/>
        <w:rPr>
          <w:sz w:val="24"/>
          <w:szCs w:val="24"/>
        </w:rPr>
      </w:pPr>
    </w:p>
    <w:p w:rsidR="004D60EB" w:rsidRPr="006E6F20" w:rsidRDefault="004D60EB" w:rsidP="004D60EB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6E6F20">
        <w:rPr>
          <w:color w:val="212121"/>
          <w:sz w:val="24"/>
          <w:szCs w:val="24"/>
        </w:rPr>
        <w:t xml:space="preserve">Sie befasst sich mit </w:t>
      </w:r>
      <w:r w:rsidRPr="006E6F20">
        <w:rPr>
          <w:b/>
          <w:bCs/>
          <w:color w:val="212121"/>
          <w:sz w:val="24"/>
          <w:szCs w:val="24"/>
        </w:rPr>
        <w:t>Fragen der Schulentwicklung</w:t>
      </w:r>
      <w:r w:rsidRPr="006E6F20">
        <w:rPr>
          <w:color w:val="212121"/>
          <w:sz w:val="24"/>
          <w:szCs w:val="24"/>
        </w:rPr>
        <w:t xml:space="preserve"> und fordert die </w:t>
      </w:r>
      <w:proofErr w:type="spellStart"/>
      <w:r w:rsidRPr="006E6F20">
        <w:rPr>
          <w:color w:val="212121"/>
          <w:sz w:val="24"/>
          <w:szCs w:val="24"/>
        </w:rPr>
        <w:t>LiV</w:t>
      </w:r>
      <w:proofErr w:type="spellEnd"/>
      <w:r w:rsidRPr="006E6F20">
        <w:rPr>
          <w:color w:val="212121"/>
          <w:sz w:val="24"/>
          <w:szCs w:val="24"/>
        </w:rPr>
        <w:t xml:space="preserve"> auf, sich in Arbeit</w:t>
      </w:r>
      <w:r w:rsidRPr="006E6F20">
        <w:rPr>
          <w:color w:val="212121"/>
          <w:sz w:val="24"/>
          <w:szCs w:val="24"/>
        </w:rPr>
        <w:t>s</w:t>
      </w:r>
      <w:r w:rsidRPr="006E6F20">
        <w:rPr>
          <w:color w:val="212121"/>
          <w:sz w:val="24"/>
          <w:szCs w:val="24"/>
        </w:rPr>
        <w:t>gruppen zur Schulentwicklung zu engagieren und so den Prozess von Schulentwicklung mitzuerleben und mitzugestalten.</w:t>
      </w:r>
      <w:r w:rsidR="006E6F20" w:rsidRPr="006E6F20">
        <w:rPr>
          <w:color w:val="212121"/>
          <w:sz w:val="24"/>
          <w:szCs w:val="24"/>
        </w:rPr>
        <w:t xml:space="preserve"> </w:t>
      </w:r>
      <w:r w:rsidRPr="006E6F20">
        <w:rPr>
          <w:color w:val="212121"/>
          <w:sz w:val="24"/>
          <w:szCs w:val="24"/>
        </w:rPr>
        <w:t>Dafür stehen ein Teil des 1. und fast das gesamte 2. Hauptsemester zur Verfügung.</w:t>
      </w:r>
    </w:p>
    <w:p w:rsidR="004D60EB" w:rsidRPr="006E6F20" w:rsidRDefault="004D60EB" w:rsidP="004D60EB">
      <w:pPr>
        <w:pStyle w:val="Listenabsatz"/>
        <w:rPr>
          <w:sz w:val="24"/>
          <w:szCs w:val="24"/>
        </w:rPr>
      </w:pPr>
    </w:p>
    <w:p w:rsidR="004D60EB" w:rsidRPr="006E6F20" w:rsidRDefault="004D60EB" w:rsidP="004D60EB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6E6F20">
        <w:rPr>
          <w:color w:val="212121"/>
          <w:sz w:val="24"/>
          <w:szCs w:val="24"/>
        </w:rPr>
        <w:t xml:space="preserve">Diese Tätigkeit wird für die konkrete Arbeit in der Veranstaltung und zum </w:t>
      </w:r>
      <w:r w:rsidRPr="006E6F20">
        <w:rPr>
          <w:b/>
          <w:bCs/>
          <w:color w:val="212121"/>
          <w:sz w:val="24"/>
          <w:szCs w:val="24"/>
        </w:rPr>
        <w:t>Kennenlernen der Methode des Projektmanagements</w:t>
      </w:r>
      <w:r w:rsidRPr="006E6F20">
        <w:rPr>
          <w:color w:val="212121"/>
          <w:sz w:val="24"/>
          <w:szCs w:val="24"/>
        </w:rPr>
        <w:t xml:space="preserve"> von den </w:t>
      </w:r>
      <w:proofErr w:type="spellStart"/>
      <w:r w:rsidRPr="006E6F20">
        <w:rPr>
          <w:color w:val="212121"/>
          <w:sz w:val="24"/>
          <w:szCs w:val="24"/>
        </w:rPr>
        <w:t>LiV</w:t>
      </w:r>
      <w:proofErr w:type="spellEnd"/>
      <w:r w:rsidRPr="006E6F20">
        <w:rPr>
          <w:color w:val="212121"/>
          <w:sz w:val="24"/>
          <w:szCs w:val="24"/>
        </w:rPr>
        <w:t xml:space="preserve"> dokumentiert. </w:t>
      </w:r>
    </w:p>
    <w:p w:rsidR="006E6F20" w:rsidRPr="006E6F20" w:rsidRDefault="006E6F20" w:rsidP="006E6F20">
      <w:pPr>
        <w:pStyle w:val="Listenabsatz"/>
        <w:rPr>
          <w:sz w:val="24"/>
          <w:szCs w:val="24"/>
        </w:rPr>
      </w:pPr>
    </w:p>
    <w:p w:rsidR="004D60EB" w:rsidRPr="006E6F20" w:rsidRDefault="004D60EB" w:rsidP="004D60EB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6E6F20">
        <w:rPr>
          <w:color w:val="212121"/>
          <w:sz w:val="24"/>
          <w:szCs w:val="24"/>
        </w:rPr>
        <w:t xml:space="preserve">Anders als in der Vorgängerveranstaltung </w:t>
      </w:r>
      <w:r w:rsidRPr="006E6F20">
        <w:rPr>
          <w:b/>
          <w:bCs/>
          <w:color w:val="212121"/>
          <w:sz w:val="24"/>
          <w:szCs w:val="24"/>
        </w:rPr>
        <w:t>(SME)</w:t>
      </w:r>
      <w:r w:rsidRPr="006E6F20">
        <w:rPr>
          <w:color w:val="212121"/>
          <w:sz w:val="24"/>
          <w:szCs w:val="24"/>
        </w:rPr>
        <w:t xml:space="preserve"> ist </w:t>
      </w:r>
      <w:r w:rsidRPr="006E6F20">
        <w:rPr>
          <w:b/>
          <w:bCs/>
          <w:color w:val="212121"/>
          <w:sz w:val="24"/>
          <w:szCs w:val="24"/>
        </w:rPr>
        <w:t>kein selbstständiges Vorhaben durc</w:t>
      </w:r>
      <w:r w:rsidRPr="006E6F20">
        <w:rPr>
          <w:b/>
          <w:bCs/>
          <w:color w:val="212121"/>
          <w:sz w:val="24"/>
          <w:szCs w:val="24"/>
        </w:rPr>
        <w:t>h</w:t>
      </w:r>
      <w:r w:rsidRPr="006E6F20">
        <w:rPr>
          <w:b/>
          <w:bCs/>
          <w:color w:val="212121"/>
          <w:sz w:val="24"/>
          <w:szCs w:val="24"/>
        </w:rPr>
        <w:t>zuführen</w:t>
      </w:r>
      <w:r w:rsidRPr="006E6F20">
        <w:rPr>
          <w:color w:val="212121"/>
          <w:sz w:val="24"/>
          <w:szCs w:val="24"/>
        </w:rPr>
        <w:t xml:space="preserve"> und abz</w:t>
      </w:r>
      <w:r w:rsidR="006E6F20" w:rsidRPr="006E6F20">
        <w:rPr>
          <w:color w:val="212121"/>
          <w:sz w:val="24"/>
          <w:szCs w:val="24"/>
        </w:rPr>
        <w:t>uschließen.</w:t>
      </w:r>
      <w:r w:rsidRPr="006E6F20">
        <w:rPr>
          <w:color w:val="212121"/>
          <w:sz w:val="24"/>
          <w:szCs w:val="24"/>
        </w:rPr>
        <w:t xml:space="preserve"> </w:t>
      </w:r>
      <w:r w:rsidR="006E6F20" w:rsidRPr="006E6F20">
        <w:rPr>
          <w:color w:val="212121"/>
          <w:sz w:val="24"/>
          <w:szCs w:val="24"/>
        </w:rPr>
        <w:t>D</w:t>
      </w:r>
      <w:r w:rsidRPr="006E6F20">
        <w:rPr>
          <w:color w:val="212121"/>
          <w:sz w:val="24"/>
          <w:szCs w:val="24"/>
        </w:rPr>
        <w:t>ies würde den zur Verfügung stehenden Zeitrahmen weit überschreiten und ist nicht (mehr) Gegenstand der Ausbildungsveranstaltung.</w:t>
      </w:r>
    </w:p>
    <w:p w:rsidR="004D60EB" w:rsidRDefault="004D60EB" w:rsidP="004D60EB">
      <w:pPr>
        <w:pStyle w:val="Listenabsatz"/>
        <w:ind w:left="567"/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In der Folge bedeutet dies für Sie als Schulleitung, dass die Inhalte dieser Ausbildungsveransta</w:t>
      </w:r>
      <w:r>
        <w:rPr>
          <w:rFonts w:ascii="Calibri" w:hAnsi="Calibri"/>
          <w:color w:val="212121"/>
        </w:rPr>
        <w:t>l</w:t>
      </w:r>
      <w:r>
        <w:rPr>
          <w:rFonts w:ascii="Calibri" w:hAnsi="Calibri"/>
          <w:color w:val="212121"/>
        </w:rPr>
        <w:t>tung nicht mehr Grundlage Ihrer schulischen Bewertung sind.</w:t>
      </w: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</w:p>
    <w:p w:rsidR="004D60EB" w:rsidRDefault="004D60EB" w:rsidP="004D60EB">
      <w:pPr>
        <w:spacing w:line="240" w:lineRule="auto"/>
        <w:rPr>
          <w:rFonts w:ascii="Calibri" w:hAnsi="Calibri"/>
          <w:b/>
          <w:color w:val="212121"/>
        </w:rPr>
      </w:pPr>
      <w:r>
        <w:rPr>
          <w:rFonts w:ascii="Calibri" w:hAnsi="Calibri"/>
          <w:b/>
          <w:color w:val="212121"/>
        </w:rPr>
        <w:t>Schulleitungsgutachten:</w:t>
      </w:r>
    </w:p>
    <w:p w:rsidR="004D60EB" w:rsidRDefault="004D60EB" w:rsidP="004D60EB">
      <w:pPr>
        <w:spacing w:line="240" w:lineRule="auto"/>
        <w:rPr>
          <w:rFonts w:ascii="Calibri" w:hAnsi="Calibri"/>
          <w:b/>
          <w:color w:val="212121"/>
        </w:rPr>
      </w:pPr>
    </w:p>
    <w:p w:rsidR="004D60EB" w:rsidRDefault="004D60EB" w:rsidP="004D60EB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Mit der DV ist ein Schulleitungsgutachten eingeführt worden, das wieder die gesamte Tätigkeit der </w:t>
      </w:r>
      <w:proofErr w:type="spellStart"/>
      <w:r>
        <w:rPr>
          <w:rFonts w:ascii="Calibri" w:hAnsi="Calibri"/>
        </w:rPr>
        <w:t>LiV</w:t>
      </w:r>
      <w:proofErr w:type="spellEnd"/>
      <w:r>
        <w:rPr>
          <w:rFonts w:ascii="Calibri" w:hAnsi="Calibri"/>
        </w:rPr>
        <w:t xml:space="preserve"> in der Schule in den Blick nimmt und unter besonderer Berücksichtigung der praktischen Unterrichtstätigkeit bewertet (vgl. § 42 </w:t>
      </w:r>
      <w:proofErr w:type="spellStart"/>
      <w:r>
        <w:rPr>
          <w:rFonts w:ascii="Calibri" w:hAnsi="Calibri"/>
        </w:rPr>
        <w:t>HLbG</w:t>
      </w:r>
      <w:proofErr w:type="spellEnd"/>
      <w:r>
        <w:rPr>
          <w:rFonts w:ascii="Calibri" w:hAnsi="Calibri"/>
        </w:rPr>
        <w:t xml:space="preserve">). </w:t>
      </w:r>
    </w:p>
    <w:p w:rsidR="004D60EB" w:rsidRDefault="004D60EB" w:rsidP="004D60EB">
      <w:pPr>
        <w:spacing w:line="240" w:lineRule="auto"/>
        <w:rPr>
          <w:rFonts w:ascii="Calibri" w:hAnsi="Calibri"/>
          <w:b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Zu Kriterien, Inhalt und Form des zu erstellenden Schulleitungsgutachtens können Sie sich auf unserer Homepage informieren und oder sich gerne persönlich an </w:t>
      </w:r>
      <w:r w:rsidR="00811072">
        <w:rPr>
          <w:rFonts w:ascii="Calibri" w:hAnsi="Calibri"/>
          <w:color w:val="212121"/>
        </w:rPr>
        <w:t>uns</w:t>
      </w:r>
      <w:r>
        <w:rPr>
          <w:rFonts w:ascii="Calibri" w:hAnsi="Calibri"/>
          <w:color w:val="212121"/>
        </w:rPr>
        <w:t xml:space="preserve"> wenden.</w:t>
      </w:r>
    </w:p>
    <w:p w:rsidR="004D60EB" w:rsidRDefault="004D60EB" w:rsidP="004D60EB">
      <w:pPr>
        <w:spacing w:line="240" w:lineRule="auto"/>
        <w:rPr>
          <w:rFonts w:ascii="Calibri" w:hAnsi="Calibri"/>
        </w:rPr>
      </w:pPr>
    </w:p>
    <w:p w:rsidR="004D60EB" w:rsidRDefault="004D60EB" w:rsidP="004D60EB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 relevanten Formulare, Informationen sowie Termine finden Sie auf unsere Homepage. B</w:t>
      </w:r>
      <w:r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>sonders interessant, gerade für „Neueinsteiger“, könnte das dort befindliche Handout „Übe</w:t>
      </w:r>
      <w:r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blick über die Ausbildung am Studienseminar“ sein, das wesentliche Informationen zusamme</w:t>
      </w:r>
      <w:r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fasst.</w:t>
      </w:r>
    </w:p>
    <w:p w:rsidR="00811072" w:rsidRDefault="00811072" w:rsidP="004D60EB">
      <w:pPr>
        <w:spacing w:line="240" w:lineRule="auto"/>
        <w:rPr>
          <w:rFonts w:ascii="Calibri" w:hAnsi="Calibri"/>
          <w:color w:val="000000"/>
        </w:rPr>
      </w:pPr>
    </w:p>
    <w:p w:rsidR="00811072" w:rsidRDefault="00811072" w:rsidP="004D60EB">
      <w:pPr>
        <w:spacing w:line="240" w:lineRule="auto"/>
        <w:rPr>
          <w:rFonts w:ascii="Calibri" w:hAnsi="Calibri"/>
          <w:color w:val="000000"/>
        </w:rPr>
      </w:pPr>
    </w:p>
    <w:p w:rsidR="00811072" w:rsidRDefault="002379F6" w:rsidP="004D60EB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Herbst 2018</w:t>
      </w:r>
      <w:r w:rsidR="00811072">
        <w:rPr>
          <w:rFonts w:ascii="Calibri" w:hAnsi="Calibri"/>
          <w:color w:val="000000"/>
        </w:rPr>
        <w:tab/>
      </w:r>
      <w:r w:rsidR="0081107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811072">
        <w:rPr>
          <w:rFonts w:ascii="Calibri" w:hAnsi="Calibri"/>
          <w:color w:val="000000"/>
        </w:rPr>
        <w:tab/>
      </w:r>
      <w:r w:rsidR="00811072">
        <w:rPr>
          <w:rFonts w:ascii="Calibri" w:hAnsi="Calibri"/>
          <w:color w:val="000000"/>
        </w:rPr>
        <w:tab/>
      </w:r>
      <w:r w:rsidR="00811072">
        <w:rPr>
          <w:rFonts w:ascii="Calibri" w:hAnsi="Calibri"/>
          <w:color w:val="000000"/>
        </w:rPr>
        <w:tab/>
        <w:t>Christian Ho</w:t>
      </w:r>
      <w:r w:rsidR="00811072">
        <w:rPr>
          <w:rFonts w:ascii="Calibri" w:hAnsi="Calibri"/>
          <w:color w:val="000000"/>
        </w:rPr>
        <w:t>f</w:t>
      </w:r>
      <w:r w:rsidR="00811072">
        <w:rPr>
          <w:rFonts w:ascii="Calibri" w:hAnsi="Calibri"/>
          <w:color w:val="000000"/>
        </w:rPr>
        <w:t>mann</w:t>
      </w:r>
    </w:p>
    <w:p w:rsidR="00BB5A12" w:rsidRPr="004D60EB" w:rsidRDefault="00BB5A12" w:rsidP="004D60EB">
      <w:pPr>
        <w:rPr>
          <w:szCs w:val="24"/>
        </w:rPr>
      </w:pPr>
    </w:p>
    <w:sectPr w:rsidR="00BB5A12" w:rsidRPr="004D60EB" w:rsidSect="0023655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37" w:right="851" w:bottom="1134" w:left="1701" w:header="90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74" w:rsidRDefault="005D7974">
      <w:r>
        <w:separator/>
      </w:r>
    </w:p>
  </w:endnote>
  <w:endnote w:type="continuationSeparator" w:id="0">
    <w:p w:rsidR="005D7974" w:rsidRDefault="005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14974"/>
      <w:docPartObj>
        <w:docPartGallery w:val="Page Numbers (Bottom of Page)"/>
        <w:docPartUnique/>
      </w:docPartObj>
    </w:sdtPr>
    <w:sdtEndPr/>
    <w:sdtContent>
      <w:p w:rsidR="006E6F20" w:rsidRDefault="006E6F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F6">
          <w:rPr>
            <w:noProof/>
          </w:rPr>
          <w:t>2</w:t>
        </w:r>
        <w:r>
          <w:fldChar w:fldCharType="end"/>
        </w:r>
      </w:p>
    </w:sdtContent>
  </w:sdt>
  <w:p w:rsidR="00DC329B" w:rsidRDefault="00DC329B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976"/>
      <w:gridCol w:w="2874"/>
    </w:tblGrid>
    <w:tr w:rsidR="00FA2E5A" w:rsidRPr="00033ED8" w:rsidTr="004E095C">
      <w:trPr>
        <w:trHeight w:val="287"/>
      </w:trPr>
      <w:tc>
        <w:tcPr>
          <w:tcW w:w="3261" w:type="dxa"/>
          <w:shd w:val="clear" w:color="auto" w:fill="auto"/>
        </w:tcPr>
        <w:p w:rsidR="00DC329B" w:rsidRPr="004E095C" w:rsidRDefault="00DD0A6E" w:rsidP="006B0709">
          <w:pPr>
            <w:pStyle w:val="Fuzeile"/>
            <w:rPr>
              <w:rFonts w:cs="Arial"/>
              <w:color w:val="003699"/>
              <w:szCs w:val="14"/>
            </w:rPr>
          </w:pPr>
          <w:r w:rsidRPr="004E095C">
            <w:rPr>
              <w:rFonts w:cs="Arial"/>
              <w:color w:val="003699"/>
              <w:szCs w:val="14"/>
            </w:rPr>
            <w:t>Schuber</w:t>
          </w:r>
          <w:r w:rsidR="00F05EE0">
            <w:rPr>
              <w:rFonts w:cs="Arial"/>
              <w:color w:val="003699"/>
              <w:szCs w:val="14"/>
            </w:rPr>
            <w:t>t</w:t>
          </w:r>
          <w:r w:rsidRPr="004E095C">
            <w:rPr>
              <w:rFonts w:cs="Arial"/>
              <w:color w:val="003699"/>
              <w:szCs w:val="14"/>
            </w:rPr>
            <w:t>str</w:t>
          </w:r>
          <w:r w:rsidR="00236559">
            <w:rPr>
              <w:rFonts w:cs="Arial"/>
              <w:color w:val="003699"/>
              <w:szCs w:val="14"/>
            </w:rPr>
            <w:t>aß</w:t>
          </w:r>
          <w:r w:rsidR="004E095C">
            <w:rPr>
              <w:rFonts w:cs="Arial"/>
              <w:color w:val="003699"/>
              <w:szCs w:val="14"/>
            </w:rPr>
            <w:t>e</w:t>
          </w:r>
          <w:r w:rsidRPr="004E095C">
            <w:rPr>
              <w:rFonts w:cs="Arial"/>
              <w:color w:val="003699"/>
              <w:szCs w:val="14"/>
            </w:rPr>
            <w:t>. 60, H. 15, 35392 Gießen</w:t>
          </w:r>
        </w:p>
        <w:p w:rsidR="00DC329B" w:rsidRPr="004E095C" w:rsidRDefault="00257685" w:rsidP="004A560D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699"/>
              <w:szCs w:val="14"/>
            </w:rPr>
          </w:pPr>
          <w:r>
            <w:rPr>
              <w:rFonts w:cs="Arial"/>
              <w:color w:val="003699"/>
              <w:szCs w:val="14"/>
            </w:rPr>
            <w:t>Telefon: 0641/4800-3840</w:t>
          </w:r>
          <w:r w:rsidR="00DD0A6E" w:rsidRPr="004E095C">
            <w:rPr>
              <w:rFonts w:cs="Arial"/>
              <w:color w:val="003699"/>
              <w:szCs w:val="14"/>
            </w:rPr>
            <w:t>, Fax: 0641/4800,389</w:t>
          </w:r>
        </w:p>
      </w:tc>
      <w:tc>
        <w:tcPr>
          <w:tcW w:w="2976" w:type="dxa"/>
          <w:shd w:val="clear" w:color="auto" w:fill="auto"/>
        </w:tcPr>
        <w:p w:rsidR="00DC329B" w:rsidRPr="00033ED8" w:rsidRDefault="00DC329B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699"/>
              <w:szCs w:val="14"/>
            </w:rPr>
          </w:pPr>
          <w:r w:rsidRPr="00033ED8">
            <w:rPr>
              <w:rFonts w:cs="Arial"/>
              <w:color w:val="003699"/>
              <w:szCs w:val="14"/>
            </w:rPr>
            <w:t>E</w:t>
          </w:r>
          <w:r w:rsidR="004E095C">
            <w:rPr>
              <w:rFonts w:cs="Arial"/>
              <w:color w:val="003699"/>
              <w:szCs w:val="14"/>
            </w:rPr>
            <w:t>-Mail: sts-ghrf-gi</w:t>
          </w:r>
          <w:r w:rsidR="00F05EE0">
            <w:rPr>
              <w:rFonts w:cs="Arial"/>
              <w:color w:val="003699"/>
              <w:szCs w:val="14"/>
            </w:rPr>
            <w:t>@kultus</w:t>
          </w:r>
          <w:r w:rsidR="00E70F4F">
            <w:rPr>
              <w:rFonts w:cs="Arial"/>
              <w:color w:val="003699"/>
              <w:szCs w:val="14"/>
            </w:rPr>
            <w:t>.hessen.de</w:t>
          </w:r>
        </w:p>
        <w:p w:rsidR="00DC329B" w:rsidRPr="00033ED8" w:rsidRDefault="00DD0A6E" w:rsidP="00E70F4F">
          <w:pPr>
            <w:pStyle w:val="Fuzeile"/>
            <w:tabs>
              <w:tab w:val="left" w:pos="564"/>
            </w:tabs>
            <w:ind w:left="564" w:right="-637" w:hanging="567"/>
            <w:rPr>
              <w:rFonts w:cs="Arial"/>
              <w:color w:val="003699"/>
              <w:szCs w:val="14"/>
            </w:rPr>
          </w:pPr>
          <w:r>
            <w:rPr>
              <w:rFonts w:cs="Arial"/>
              <w:color w:val="003699"/>
              <w:szCs w:val="14"/>
            </w:rPr>
            <w:t xml:space="preserve">Internet: </w:t>
          </w:r>
          <w:r w:rsidR="00E70F4F">
            <w:rPr>
              <w:rFonts w:cs="Arial"/>
              <w:color w:val="003699"/>
              <w:szCs w:val="14"/>
            </w:rPr>
            <w:t>www.sts-ghrf-giessen.bildung.hessen.de</w:t>
          </w:r>
        </w:p>
      </w:tc>
      <w:tc>
        <w:tcPr>
          <w:tcW w:w="2874" w:type="dxa"/>
          <w:shd w:val="clear" w:color="auto" w:fill="auto"/>
        </w:tcPr>
        <w:p w:rsidR="00DC329B" w:rsidRPr="00033ED8" w:rsidRDefault="00DC329B" w:rsidP="00033ED8">
          <w:pPr>
            <w:pStyle w:val="Fuzeile"/>
            <w:rPr>
              <w:color w:val="003699"/>
              <w:szCs w:val="14"/>
            </w:rPr>
          </w:pPr>
          <w:r w:rsidRPr="00033ED8">
            <w:rPr>
              <w:color w:val="003699"/>
              <w:szCs w:val="14"/>
            </w:rPr>
            <w:t xml:space="preserve"> </w:t>
          </w:r>
        </w:p>
      </w:tc>
    </w:tr>
  </w:tbl>
  <w:p w:rsidR="00DC329B" w:rsidRPr="007A399C" w:rsidRDefault="00DC329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74" w:rsidRDefault="005D7974">
      <w:r>
        <w:separator/>
      </w:r>
    </w:p>
  </w:footnote>
  <w:footnote w:type="continuationSeparator" w:id="0">
    <w:p w:rsidR="005D7974" w:rsidRDefault="005D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DC329B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B" w:rsidRDefault="000C416C" w:rsidP="004A560D">
    <w:pPr>
      <w:pStyle w:val="KopfICI"/>
      <w:framePr w:hRule="auto" w:hSpace="0" w:wrap="auto" w:vAnchor="margin" w:hAnchor="text" w:xAlign="left" w:yAlign="inline"/>
      <w:spacing w:after="1680" w:line="240" w:lineRule="auto"/>
      <w:rPr>
        <w:color w:val="003699"/>
        <w:sz w:val="23"/>
      </w:rPr>
    </w:pPr>
    <w:bookmarkStart w:id="1" w:name="Color"/>
    <w:bookmarkStart w:id="2" w:name="SW"/>
    <w:r w:rsidRPr="006A51D8">
      <w:rPr>
        <w:noProof/>
        <w:color w:val="003699"/>
      </w:rPr>
      <w:drawing>
        <wp:anchor distT="0" distB="0" distL="114300" distR="114300" simplePos="0" relativeHeight="251657214" behindDoc="0" locked="0" layoutInCell="1" allowOverlap="1" wp14:anchorId="01B6FC63" wp14:editId="63FD13DD">
          <wp:simplePos x="0" y="0"/>
          <wp:positionH relativeFrom="page">
            <wp:posOffset>6182360</wp:posOffset>
          </wp:positionH>
          <wp:positionV relativeFrom="page">
            <wp:posOffset>835036</wp:posOffset>
          </wp:positionV>
          <wp:extent cx="831215" cy="1076325"/>
          <wp:effectExtent l="0" t="0" r="6985" b="952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6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F00470" wp14:editId="58E736E5">
              <wp:simplePos x="0" y="0"/>
              <wp:positionH relativeFrom="column">
                <wp:posOffset>-20320</wp:posOffset>
              </wp:positionH>
              <wp:positionV relativeFrom="paragraph">
                <wp:posOffset>333375</wp:posOffset>
              </wp:positionV>
              <wp:extent cx="1828800" cy="1143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16C" w:rsidRDefault="000C41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B2164F" wp14:editId="620E7C09">
                                <wp:extent cx="1628775" cy="1098550"/>
                                <wp:effectExtent l="0" t="0" r="9525" b="6350"/>
                                <wp:docPr id="3" name="Grafik 3" descr="Kopf_StudSem-Ic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opf_StudSem-Ic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26.25pt;width:2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">
              <v:textbox>
                <w:txbxContent>
                  <w:p w:rsidR="000C416C" w:rsidRDefault="000C416C">
                    <w:r>
                      <w:rPr>
                        <w:noProof/>
                      </w:rPr>
                      <w:drawing>
                        <wp:inline distT="0" distB="0" distL="0" distR="0" wp14:anchorId="03B2164F" wp14:editId="620E7C09">
                          <wp:extent cx="1628775" cy="1098550"/>
                          <wp:effectExtent l="0" t="0" r="9525" b="6350"/>
                          <wp:docPr id="3" name="Grafik 3" descr="Kopf_StudSem-Ic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opf_StudSem-Ic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05EE0">
      <w:rPr>
        <w:color w:val="003699"/>
        <w:sz w:val="23"/>
      </w:rPr>
      <w:t>Hessische</w:t>
    </w:r>
    <w:r w:rsidR="00DC329B" w:rsidRPr="000C416C">
      <w:rPr>
        <w:color w:val="17365D" w:themeColor="text2" w:themeShade="BF"/>
        <w:sz w:val="23"/>
      </w:rPr>
      <w:t xml:space="preserve"> </w:t>
    </w:r>
    <w:r w:rsidR="00DC329B" w:rsidRPr="00FA2E5A">
      <w:rPr>
        <w:color w:val="003699"/>
        <w:sz w:val="23"/>
      </w:rPr>
      <w:t>Lehrkräfteakademie</w:t>
    </w:r>
    <w:bookmarkStart w:id="3" w:name="Kopf"/>
    <w:bookmarkEnd w:id="1"/>
    <w:bookmarkEnd w:id="2"/>
    <w:bookmarkEnd w:id="3"/>
  </w:p>
  <w:p w:rsidR="00236559" w:rsidRDefault="00236559" w:rsidP="00236559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23"/>
      </w:rPr>
    </w:pPr>
  </w:p>
  <w:p w:rsidR="00236559" w:rsidRDefault="00236559" w:rsidP="00236559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23"/>
      </w:rPr>
    </w:pPr>
  </w:p>
  <w:p w:rsidR="00236559" w:rsidRPr="004A560D" w:rsidRDefault="00236559" w:rsidP="00236559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23"/>
      </w:rPr>
    </w:pPr>
    <w:r>
      <w:rPr>
        <w:color w:val="003699"/>
        <w:sz w:val="23"/>
      </w:rPr>
      <w:t>Studienseminar GHRF Gießen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A0F"/>
    <w:multiLevelType w:val="hybridMultilevel"/>
    <w:tmpl w:val="1B8AFF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3"/>
    <w:rsid w:val="00002144"/>
    <w:rsid w:val="00004911"/>
    <w:rsid w:val="00005DF6"/>
    <w:rsid w:val="00033C0B"/>
    <w:rsid w:val="00033ED8"/>
    <w:rsid w:val="000375B8"/>
    <w:rsid w:val="00045042"/>
    <w:rsid w:val="00057F6D"/>
    <w:rsid w:val="00065F8A"/>
    <w:rsid w:val="00070339"/>
    <w:rsid w:val="00092B9C"/>
    <w:rsid w:val="00096430"/>
    <w:rsid w:val="000A1E1A"/>
    <w:rsid w:val="000C416C"/>
    <w:rsid w:val="000D732E"/>
    <w:rsid w:val="000E1085"/>
    <w:rsid w:val="000E24F0"/>
    <w:rsid w:val="000F0004"/>
    <w:rsid w:val="0010625A"/>
    <w:rsid w:val="00110511"/>
    <w:rsid w:val="001108D8"/>
    <w:rsid w:val="00117953"/>
    <w:rsid w:val="00121425"/>
    <w:rsid w:val="00135FC4"/>
    <w:rsid w:val="00174996"/>
    <w:rsid w:val="001C5A80"/>
    <w:rsid w:val="001E0F96"/>
    <w:rsid w:val="001F3C6F"/>
    <w:rsid w:val="001F6847"/>
    <w:rsid w:val="0020063E"/>
    <w:rsid w:val="0020349B"/>
    <w:rsid w:val="00203A53"/>
    <w:rsid w:val="00213A5C"/>
    <w:rsid w:val="0021415B"/>
    <w:rsid w:val="00214ED8"/>
    <w:rsid w:val="00224AB3"/>
    <w:rsid w:val="00226A2C"/>
    <w:rsid w:val="00236559"/>
    <w:rsid w:val="002379F6"/>
    <w:rsid w:val="002518A0"/>
    <w:rsid w:val="00257685"/>
    <w:rsid w:val="002611FD"/>
    <w:rsid w:val="002827F5"/>
    <w:rsid w:val="00285EB2"/>
    <w:rsid w:val="00297490"/>
    <w:rsid w:val="002A66E9"/>
    <w:rsid w:val="002D2503"/>
    <w:rsid w:val="002F4590"/>
    <w:rsid w:val="003038B0"/>
    <w:rsid w:val="003121C4"/>
    <w:rsid w:val="0032040C"/>
    <w:rsid w:val="00326DBE"/>
    <w:rsid w:val="003379BD"/>
    <w:rsid w:val="003407D1"/>
    <w:rsid w:val="00352C18"/>
    <w:rsid w:val="003849D1"/>
    <w:rsid w:val="003B03C8"/>
    <w:rsid w:val="003D35FF"/>
    <w:rsid w:val="003E55ED"/>
    <w:rsid w:val="004116E6"/>
    <w:rsid w:val="00414E1E"/>
    <w:rsid w:val="004267D3"/>
    <w:rsid w:val="00440DF8"/>
    <w:rsid w:val="00465383"/>
    <w:rsid w:val="00465DB3"/>
    <w:rsid w:val="00480CE3"/>
    <w:rsid w:val="004970A1"/>
    <w:rsid w:val="004A135D"/>
    <w:rsid w:val="004A1E81"/>
    <w:rsid w:val="004A560D"/>
    <w:rsid w:val="004B2E05"/>
    <w:rsid w:val="004B70AA"/>
    <w:rsid w:val="004D0933"/>
    <w:rsid w:val="004D144C"/>
    <w:rsid w:val="004D2BD6"/>
    <w:rsid w:val="004D60EB"/>
    <w:rsid w:val="004E095C"/>
    <w:rsid w:val="004E6AE4"/>
    <w:rsid w:val="00522224"/>
    <w:rsid w:val="0053373A"/>
    <w:rsid w:val="00534802"/>
    <w:rsid w:val="005620A0"/>
    <w:rsid w:val="00565FC3"/>
    <w:rsid w:val="0059164C"/>
    <w:rsid w:val="005A3030"/>
    <w:rsid w:val="005A416A"/>
    <w:rsid w:val="005A5E76"/>
    <w:rsid w:val="005C4880"/>
    <w:rsid w:val="005D7974"/>
    <w:rsid w:val="005E3187"/>
    <w:rsid w:val="005E59B6"/>
    <w:rsid w:val="00607011"/>
    <w:rsid w:val="006151CB"/>
    <w:rsid w:val="0062315D"/>
    <w:rsid w:val="006244DB"/>
    <w:rsid w:val="00647062"/>
    <w:rsid w:val="0065262D"/>
    <w:rsid w:val="00687DEA"/>
    <w:rsid w:val="006916DD"/>
    <w:rsid w:val="006A126B"/>
    <w:rsid w:val="006A3594"/>
    <w:rsid w:val="006A51D8"/>
    <w:rsid w:val="006A5EF3"/>
    <w:rsid w:val="006B0709"/>
    <w:rsid w:val="006C2C33"/>
    <w:rsid w:val="006E3C13"/>
    <w:rsid w:val="006E53A6"/>
    <w:rsid w:val="006E6EA3"/>
    <w:rsid w:val="006E6F20"/>
    <w:rsid w:val="006F60DE"/>
    <w:rsid w:val="00700D23"/>
    <w:rsid w:val="00710EEE"/>
    <w:rsid w:val="00724C33"/>
    <w:rsid w:val="00756E5A"/>
    <w:rsid w:val="00756E88"/>
    <w:rsid w:val="007578A4"/>
    <w:rsid w:val="007637AA"/>
    <w:rsid w:val="00781A01"/>
    <w:rsid w:val="007A2B81"/>
    <w:rsid w:val="007A399C"/>
    <w:rsid w:val="007A74CE"/>
    <w:rsid w:val="007A7E7F"/>
    <w:rsid w:val="007C025A"/>
    <w:rsid w:val="007C21DE"/>
    <w:rsid w:val="007F13D5"/>
    <w:rsid w:val="007F6DC6"/>
    <w:rsid w:val="00811072"/>
    <w:rsid w:val="00825277"/>
    <w:rsid w:val="00825C97"/>
    <w:rsid w:val="00846EE6"/>
    <w:rsid w:val="00861055"/>
    <w:rsid w:val="00891905"/>
    <w:rsid w:val="008A153D"/>
    <w:rsid w:val="008C51F5"/>
    <w:rsid w:val="008C5E9E"/>
    <w:rsid w:val="008D134E"/>
    <w:rsid w:val="008D242A"/>
    <w:rsid w:val="008D7725"/>
    <w:rsid w:val="008E0400"/>
    <w:rsid w:val="008E1369"/>
    <w:rsid w:val="00913095"/>
    <w:rsid w:val="009140A9"/>
    <w:rsid w:val="0093017F"/>
    <w:rsid w:val="0093156E"/>
    <w:rsid w:val="00936717"/>
    <w:rsid w:val="009650EB"/>
    <w:rsid w:val="009A68B2"/>
    <w:rsid w:val="009B7C6C"/>
    <w:rsid w:val="009D56DE"/>
    <w:rsid w:val="009D78AA"/>
    <w:rsid w:val="009D7A5E"/>
    <w:rsid w:val="009E3FB6"/>
    <w:rsid w:val="009E4C04"/>
    <w:rsid w:val="009E76B1"/>
    <w:rsid w:val="00A012C7"/>
    <w:rsid w:val="00A1325F"/>
    <w:rsid w:val="00A17D13"/>
    <w:rsid w:val="00A260FE"/>
    <w:rsid w:val="00A334D3"/>
    <w:rsid w:val="00A518FB"/>
    <w:rsid w:val="00A571F1"/>
    <w:rsid w:val="00A6260D"/>
    <w:rsid w:val="00A74BD5"/>
    <w:rsid w:val="00A76C33"/>
    <w:rsid w:val="00A80762"/>
    <w:rsid w:val="00A931F3"/>
    <w:rsid w:val="00A97166"/>
    <w:rsid w:val="00AA72F2"/>
    <w:rsid w:val="00AA79F6"/>
    <w:rsid w:val="00AC1B03"/>
    <w:rsid w:val="00AC6162"/>
    <w:rsid w:val="00AE05D1"/>
    <w:rsid w:val="00AF7D38"/>
    <w:rsid w:val="00B022B3"/>
    <w:rsid w:val="00B601B7"/>
    <w:rsid w:val="00B73788"/>
    <w:rsid w:val="00B74BF9"/>
    <w:rsid w:val="00B767DD"/>
    <w:rsid w:val="00B86855"/>
    <w:rsid w:val="00B95C9C"/>
    <w:rsid w:val="00B964A3"/>
    <w:rsid w:val="00BB5A12"/>
    <w:rsid w:val="00BC5799"/>
    <w:rsid w:val="00BF616E"/>
    <w:rsid w:val="00C059F5"/>
    <w:rsid w:val="00C21755"/>
    <w:rsid w:val="00C55D53"/>
    <w:rsid w:val="00C6342B"/>
    <w:rsid w:val="00C80A79"/>
    <w:rsid w:val="00C90A7A"/>
    <w:rsid w:val="00CD156B"/>
    <w:rsid w:val="00D15897"/>
    <w:rsid w:val="00D16483"/>
    <w:rsid w:val="00D2327F"/>
    <w:rsid w:val="00D331FE"/>
    <w:rsid w:val="00D42600"/>
    <w:rsid w:val="00D44ACC"/>
    <w:rsid w:val="00D6379D"/>
    <w:rsid w:val="00D75827"/>
    <w:rsid w:val="00D76DBF"/>
    <w:rsid w:val="00D838AE"/>
    <w:rsid w:val="00D84C80"/>
    <w:rsid w:val="00D9339B"/>
    <w:rsid w:val="00D9366A"/>
    <w:rsid w:val="00DC329B"/>
    <w:rsid w:val="00DC7071"/>
    <w:rsid w:val="00DD0A6E"/>
    <w:rsid w:val="00DD2DC7"/>
    <w:rsid w:val="00DD44D2"/>
    <w:rsid w:val="00DF56AA"/>
    <w:rsid w:val="00E00F13"/>
    <w:rsid w:val="00E03CB9"/>
    <w:rsid w:val="00E14928"/>
    <w:rsid w:val="00E53964"/>
    <w:rsid w:val="00E70F4F"/>
    <w:rsid w:val="00E87A00"/>
    <w:rsid w:val="00E957F1"/>
    <w:rsid w:val="00EC55F0"/>
    <w:rsid w:val="00EE0677"/>
    <w:rsid w:val="00EF0B76"/>
    <w:rsid w:val="00F0234C"/>
    <w:rsid w:val="00F05EE0"/>
    <w:rsid w:val="00F15AA8"/>
    <w:rsid w:val="00F15AB4"/>
    <w:rsid w:val="00F3484F"/>
    <w:rsid w:val="00F61BDA"/>
    <w:rsid w:val="00F653FD"/>
    <w:rsid w:val="00F666F1"/>
    <w:rsid w:val="00F66D08"/>
    <w:rsid w:val="00F8299E"/>
    <w:rsid w:val="00F96A90"/>
    <w:rsid w:val="00FA1694"/>
    <w:rsid w:val="00FA2434"/>
    <w:rsid w:val="00FA2E5A"/>
    <w:rsid w:val="00FB2756"/>
    <w:rsid w:val="00FB407C"/>
    <w:rsid w:val="00FB4FB4"/>
    <w:rsid w:val="00FC5206"/>
    <w:rsid w:val="00FD471B"/>
    <w:rsid w:val="00FE564D"/>
    <w:rsid w:val="00FE636E"/>
    <w:rsid w:val="00FF0200"/>
    <w:rsid w:val="00FF5831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4D60EB"/>
    <w:pPr>
      <w:widowControl/>
      <w:spacing w:line="240" w:lineRule="auto"/>
      <w:ind w:left="720"/>
    </w:pPr>
    <w:rPr>
      <w:rFonts w:ascii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6E6F2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E6F20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4D60EB"/>
    <w:pPr>
      <w:widowControl/>
      <w:spacing w:line="240" w:lineRule="auto"/>
      <w:ind w:left="720"/>
    </w:pPr>
    <w:rPr>
      <w:rFonts w:ascii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6E6F2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E6F2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7795-BEB9-47ED-B24E-DA9C196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3766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Milkereit-Schulz, Petra (AFL GI)</dc:creator>
  <cp:lastModifiedBy>Jutta</cp:lastModifiedBy>
  <cp:revision>2</cp:revision>
  <cp:lastPrinted>2015-06-12T12:59:00Z</cp:lastPrinted>
  <dcterms:created xsi:type="dcterms:W3CDTF">2018-12-09T15:09:00Z</dcterms:created>
  <dcterms:modified xsi:type="dcterms:W3CDTF">2018-12-09T15:09:00Z</dcterms:modified>
</cp:coreProperties>
</file>