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92" w:rsidRPr="00902992" w:rsidRDefault="00902992" w:rsidP="00902992">
      <w:pPr>
        <w:jc w:val="center"/>
        <w:rPr>
          <w:b/>
          <w:u w:val="single"/>
        </w:rPr>
      </w:pPr>
      <w:r w:rsidRPr="00902992">
        <w:rPr>
          <w:b/>
          <w:u w:val="single"/>
        </w:rPr>
        <w:t>Leitfaden für Beratungsgespräche im Rahmen von Unterrichtsbesuchen</w:t>
      </w:r>
    </w:p>
    <w:p w:rsidR="00902992" w:rsidRDefault="00902992" w:rsidP="00902992">
      <w:pPr>
        <w:rPr>
          <w:b/>
        </w:rPr>
      </w:pPr>
    </w:p>
    <w:p w:rsidR="00902992" w:rsidRDefault="00902992" w:rsidP="00902992">
      <w:pPr>
        <w:rPr>
          <w:b/>
        </w:rPr>
      </w:pPr>
    </w:p>
    <w:p w:rsidR="00902992" w:rsidRDefault="00902992" w:rsidP="00902992">
      <w:pPr>
        <w:rPr>
          <w:b/>
        </w:rPr>
      </w:pPr>
      <w:r>
        <w:rPr>
          <w:b/>
        </w:rPr>
        <w:t>Grundsätzliche Überlegungen zu Doppelbesuchen:</w:t>
      </w:r>
    </w:p>
    <w:p w:rsidR="00902992" w:rsidRDefault="00902992" w:rsidP="00902992">
      <w:pPr>
        <w:numPr>
          <w:ilvl w:val="0"/>
          <w:numId w:val="1"/>
        </w:numPr>
      </w:pPr>
      <w:r>
        <w:rPr>
          <w:b/>
        </w:rPr>
        <w:t>Doppelbesuche</w:t>
      </w:r>
      <w:r>
        <w:t xml:space="preserve"> </w:t>
      </w:r>
      <w:r>
        <w:rPr>
          <w:b/>
        </w:rPr>
        <w:t>sollten</w:t>
      </w:r>
      <w:r>
        <w:t xml:space="preserve"> </w:t>
      </w:r>
      <w:r>
        <w:rPr>
          <w:b/>
        </w:rPr>
        <w:t>gemeinsam beraten</w:t>
      </w:r>
      <w:r>
        <w:t xml:space="preserve"> werden. Wenn eine Beratung aller Beteiligten im Anschluss nicht möglich ist, ist ein separater Termin mit allen Beteiligten wünschenswert. In Ausnahmefällen kann auch getrennt beraten werden.</w:t>
      </w:r>
    </w:p>
    <w:p w:rsidR="00902992" w:rsidRDefault="00902992" w:rsidP="00902992">
      <w:pPr>
        <w:numPr>
          <w:ilvl w:val="0"/>
          <w:numId w:val="1"/>
        </w:numPr>
      </w:pPr>
      <w:r>
        <w:t>Am Reflexions- und Beratungsgespräch beteiligen</w:t>
      </w:r>
      <w:r>
        <w:rPr>
          <w:b/>
        </w:rPr>
        <w:t xml:space="preserve"> </w:t>
      </w:r>
      <w:r>
        <w:t>sich</w:t>
      </w:r>
      <w:r>
        <w:rPr>
          <w:b/>
        </w:rPr>
        <w:t xml:space="preserve"> beide </w:t>
      </w:r>
      <w:r>
        <w:t>Ausbildungskräfte. Die Prozedur des Ablaufs wird transparent gemacht.</w:t>
      </w:r>
    </w:p>
    <w:p w:rsidR="00902992" w:rsidRDefault="00902992" w:rsidP="00902992">
      <w:pPr>
        <w:numPr>
          <w:ilvl w:val="0"/>
          <w:numId w:val="1"/>
        </w:numPr>
      </w:pPr>
      <w:r>
        <w:t xml:space="preserve">Die Beratung eines </w:t>
      </w:r>
      <w:r>
        <w:rPr>
          <w:b/>
        </w:rPr>
        <w:t>ausführlichen schriftlichen Entwurfs sowie eines Förderplans</w:t>
      </w:r>
      <w:r>
        <w:t xml:space="preserve"> erfolgt an einem </w:t>
      </w:r>
      <w:r>
        <w:rPr>
          <w:b/>
        </w:rPr>
        <w:t>separaten Termin</w:t>
      </w:r>
      <w:r>
        <w:t>. Gegebenenfalls, wenn es noch sinnvoll erscheint, kann sie sich der (ausführlichen!) gemeinsamen Beratung der Stunde anschließen. Die  nicht betroffene Ausbildungskraft muss bei diesem Part dann nicht mehr anwesend sein.</w:t>
      </w:r>
    </w:p>
    <w:p w:rsidR="00902992" w:rsidRDefault="00902992" w:rsidP="00902992"/>
    <w:p w:rsidR="00902992" w:rsidRDefault="00902992" w:rsidP="0090299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859"/>
      </w:tblGrid>
      <w:tr w:rsidR="00902992" w:rsidTr="00962A1F">
        <w:tc>
          <w:tcPr>
            <w:tcW w:w="4605" w:type="dxa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LiV</w:t>
            </w:r>
          </w:p>
          <w:p w:rsidR="00902992" w:rsidRDefault="00902992" w:rsidP="00962A1F">
            <w:pPr>
              <w:rPr>
                <w:b/>
              </w:rPr>
            </w:pPr>
          </w:p>
        </w:tc>
        <w:tc>
          <w:tcPr>
            <w:tcW w:w="4859" w:type="dxa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Ausbildungskräfte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pStyle w:val="berschrift1"/>
            </w:pPr>
            <w:r>
              <w:t>Vor der Unterrichtsstunde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Vorbereitung 48 Std. vorher verschicken, gegebenenfalls an zwei Ausbildungskräfte</w:t>
            </w:r>
          </w:p>
          <w:p w:rsidR="00902992" w:rsidRDefault="009F246F" w:rsidP="00962A1F">
            <w:pPr>
              <w:numPr>
                <w:ilvl w:val="0"/>
                <w:numId w:val="2"/>
              </w:numPr>
            </w:pPr>
            <w:r>
              <w:t>UB</w:t>
            </w:r>
            <w:bookmarkStart w:id="0" w:name="_GoBack"/>
            <w:bookmarkEnd w:id="0"/>
            <w:r>
              <w:t xml:space="preserve"> an Montagen: Abgabe spätestens bis Freitag 15.00 Uhr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Ungestörten Raum organisieren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Beobachtungsschwerpunkte mitteilen (Portfoliobezug)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Portfolio vorlegen</w:t>
            </w:r>
          </w:p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Vorbereitung vorher lesen und ausgedruckt oder digital mitbringen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Verständigung über Beratungszeitpunkt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verbindliche Absprachen über das Prozedere bei Reflexion und Beratung (Wer hat welchen Part? Wer beginnt?)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Eventuell Beobachtungsschwerpunkte festlegen (Portfoliobezug)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Vorbereitung des Gesprächs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Arbeitsergebnisse einsammeln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Arbeitsergebnisse deuten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Reflektieren mit Notizen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MentorInnen sollten der LiV keine Hilfen geben</w:t>
            </w:r>
          </w:p>
          <w:p w:rsidR="00902992" w:rsidRDefault="00902992" w:rsidP="00962A1F"/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Ca.15 Minuten Reflexionszeit einräumen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Fragen an die LiV formulieren, bei Doppelbesuchen gemeinsam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Vorläufige Einschätzung der Stärken und Schwächen auf der Grundlage der/von Handreichungen formulieren, bei Doppelbesuchen gemeinsam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 w:rsidRPr="00902992">
              <w:t xml:space="preserve">Bei Doppelbesuchen: </w:t>
            </w:r>
            <w:r>
              <w:t xml:space="preserve">Erste Verständigung über die Bewertung </w:t>
            </w:r>
          </w:p>
          <w:p w:rsidR="00902992" w:rsidRDefault="00902992" w:rsidP="00962A1F">
            <w:pPr>
              <w:ind w:left="360"/>
            </w:pPr>
            <w:r>
              <w:t xml:space="preserve">      (gemeinsam) an den Kompetenzen und</w:t>
            </w:r>
          </w:p>
          <w:p w:rsidR="00902992" w:rsidRDefault="00902992" w:rsidP="00962A1F">
            <w:pPr>
              <w:ind w:left="360"/>
            </w:pPr>
            <w:r>
              <w:t xml:space="preserve">      Standards der jeweiligen Module</w:t>
            </w:r>
          </w:p>
          <w:p w:rsidR="00902992" w:rsidRDefault="00902992" w:rsidP="00962A1F">
            <w:pPr>
              <w:ind w:left="360"/>
            </w:pPr>
            <w:r>
              <w:t xml:space="preserve">      orientiert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r>
              <w:rPr>
                <w:b/>
              </w:rPr>
              <w:t xml:space="preserve">Beratungsgespräch </w:t>
            </w:r>
            <w:r>
              <w:t>(ca. 45 Minuten, bei Doppelbesuchen ca.1 Stunde)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Erörterung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Analyse der LiV, eventl. auf eigene Ausbildungsschwerpunkte hin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Beantwortung von Fragen der Ausbildungskräfte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Anwesenheit der MentorInnen ausdrücklich erwünscht</w:t>
            </w:r>
          </w:p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Transparenz zum Ablauf der Reflexion, </w:t>
            </w:r>
            <w:r w:rsidRPr="00902992">
              <w:t>Bewertung</w:t>
            </w:r>
            <w:r>
              <w:t xml:space="preserve"> und Beratung (Wie sieht der zeitliche Rahmen aus? Welche Ausbildungskraft übernimmt welchen Part? Wann hört der reflektierende, d. h. bewertete Teil auf? Wann beginnt die Beratung?)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Gesprächsführung im Sinne des vorher verabredeten Modus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stellen (Verständnis-) Fragen zum Unterricht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Noch kein direktes Eingehen auf die Überlegungen der LiV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Beratung</w:t>
            </w:r>
          </w:p>
          <w:p w:rsidR="00902992" w:rsidRDefault="00902992" w:rsidP="00962A1F">
            <w:pPr>
              <w:rPr>
                <w:b/>
              </w:rPr>
            </w:pP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LiV formuliert ihre Beratungs-interessen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Beteiligung der MentorInnen ausdrücklich erwünscht</w:t>
            </w:r>
          </w:p>
          <w:p w:rsidR="00902992" w:rsidRDefault="00902992" w:rsidP="00962A1F"/>
        </w:tc>
        <w:tc>
          <w:tcPr>
            <w:tcW w:w="4859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Schwerpunktsetzung der Ausbildungskräfte bei der Beratung, eventuell in Absprache mit der LiV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Bei Doppelbesuchen: Beratung beider Ausbildungskräfte auf modulspezifische Schwerpunkte hin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geben Rückmeldung zur Qualität der Reflexion</w:t>
            </w:r>
          </w:p>
        </w:tc>
      </w:tr>
      <w:tr w:rsidR="00902992" w:rsidTr="00962A1F">
        <w:tc>
          <w:tcPr>
            <w:tcW w:w="9464" w:type="dxa"/>
            <w:gridSpan w:val="2"/>
          </w:tcPr>
          <w:p w:rsidR="00902992" w:rsidRDefault="00902992" w:rsidP="00962A1F">
            <w:pPr>
              <w:rPr>
                <w:b/>
              </w:rPr>
            </w:pPr>
          </w:p>
          <w:p w:rsidR="00902992" w:rsidRDefault="00902992" w:rsidP="00962A1F">
            <w:pPr>
              <w:rPr>
                <w:b/>
              </w:rPr>
            </w:pPr>
            <w:r>
              <w:rPr>
                <w:b/>
              </w:rPr>
              <w:t>Zusammenfassung der Beratung</w:t>
            </w:r>
          </w:p>
          <w:p w:rsidR="00902992" w:rsidRDefault="00902992" w:rsidP="00962A1F">
            <w:r>
              <w:t>(Hier sind unterschiedliche Varianten möglich.)</w:t>
            </w:r>
          </w:p>
        </w:tc>
      </w:tr>
      <w:tr w:rsidR="00902992" w:rsidTr="00962A1F">
        <w:tc>
          <w:tcPr>
            <w:tcW w:w="4605" w:type="dxa"/>
          </w:tcPr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 xml:space="preserve">Formulierung von Stärken und Arbeitsvorhaben für das eigene Portfolio durch die LiV im Gespräch </w:t>
            </w:r>
            <w:r>
              <w:rPr>
                <w:b/>
              </w:rPr>
              <w:t>oder</w:t>
            </w:r>
          </w:p>
          <w:p w:rsidR="00902992" w:rsidRDefault="00DA0028" w:rsidP="00962A1F">
            <w:pPr>
              <w:numPr>
                <w:ilvl w:val="0"/>
                <w:numId w:val="2"/>
              </w:numPr>
            </w:pPr>
            <w:r>
              <w:t>LiV schickt den geplanten Portfolio-Eintrag</w:t>
            </w:r>
            <w:r w:rsidR="00902992">
              <w:t xml:space="preserve"> an die Ausbildungskräfte</w:t>
            </w:r>
          </w:p>
        </w:tc>
        <w:tc>
          <w:tcPr>
            <w:tcW w:w="4859" w:type="dxa"/>
          </w:tcPr>
          <w:p w:rsidR="00902992" w:rsidRDefault="00420784" w:rsidP="00962A1F">
            <w:pPr>
              <w:numPr>
                <w:ilvl w:val="0"/>
                <w:numId w:val="2"/>
              </w:numPr>
            </w:pPr>
            <w:r>
              <w:t>e</w:t>
            </w:r>
            <w:r w:rsidR="00902992">
              <w:t>ine Ausbildungskraft fasst die Beratung</w:t>
            </w:r>
            <w:r>
              <w:t xml:space="preserve">sschwerpunkte mit dem Blick auf Stärken und notwendige Arbeitsschwerpunkte mündlich zusammen </w:t>
            </w:r>
          </w:p>
          <w:p w:rsidR="00420784" w:rsidRDefault="00420784" w:rsidP="00420784">
            <w:pPr>
              <w:numPr>
                <w:ilvl w:val="0"/>
                <w:numId w:val="2"/>
              </w:numPr>
            </w:pPr>
            <w:r>
              <w:t>Ausbildungskräfte kommentieren den Portfolioeintrag und treffen gegebenenfalls besondere Vereinbarungen mit der LiV</w:t>
            </w:r>
          </w:p>
          <w:p w:rsidR="00902992" w:rsidRDefault="00902992" w:rsidP="00962A1F">
            <w:pPr>
              <w:numPr>
                <w:ilvl w:val="0"/>
                <w:numId w:val="2"/>
              </w:numPr>
            </w:pPr>
            <w:r>
              <w:t>Ausbildungskräfte geben  Bewertungsrahmen bekannt</w:t>
            </w:r>
          </w:p>
          <w:p w:rsidR="00902992" w:rsidRDefault="00902992" w:rsidP="00420784">
            <w:pPr>
              <w:ind w:left="720"/>
            </w:pPr>
          </w:p>
        </w:tc>
      </w:tr>
    </w:tbl>
    <w:p w:rsidR="00902992" w:rsidRDefault="00902992" w:rsidP="00902992"/>
    <w:p w:rsidR="00204CF9" w:rsidRDefault="00204CF9"/>
    <w:sectPr w:rsidR="00204CF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AE" w:rsidRDefault="00F71FAE" w:rsidP="00902992">
      <w:r>
        <w:separator/>
      </w:r>
    </w:p>
  </w:endnote>
  <w:endnote w:type="continuationSeparator" w:id="0">
    <w:p w:rsidR="00F71FAE" w:rsidRDefault="00F71FAE" w:rsidP="009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53449"/>
      <w:docPartObj>
        <w:docPartGallery w:val="Page Numbers (Bottom of Page)"/>
        <w:docPartUnique/>
      </w:docPartObj>
    </w:sdtPr>
    <w:sdtEndPr/>
    <w:sdtContent>
      <w:p w:rsidR="00902992" w:rsidRDefault="009029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6F">
          <w:rPr>
            <w:noProof/>
          </w:rPr>
          <w:t>1</w:t>
        </w:r>
        <w:r>
          <w:fldChar w:fldCharType="end"/>
        </w:r>
      </w:p>
    </w:sdtContent>
  </w:sdt>
  <w:p w:rsidR="00902992" w:rsidRDefault="009029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AE" w:rsidRDefault="00F71FAE" w:rsidP="00902992">
      <w:r>
        <w:separator/>
      </w:r>
    </w:p>
  </w:footnote>
  <w:footnote w:type="continuationSeparator" w:id="0">
    <w:p w:rsidR="00F71FAE" w:rsidRDefault="00F71FAE" w:rsidP="00902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92" w:rsidRPr="00902992" w:rsidRDefault="00902992">
    <w:pPr>
      <w:pStyle w:val="Kopfzeile"/>
      <w:rPr>
        <w:u w:val="single"/>
      </w:rPr>
    </w:pPr>
    <w:r w:rsidRPr="00902992">
      <w:rPr>
        <w:u w:val="single"/>
      </w:rPr>
      <w:t>Studienseminar GHRF Gießen</w:t>
    </w:r>
    <w:r w:rsidRPr="00902992">
      <w:rPr>
        <w:u w:val="single"/>
      </w:rPr>
      <w:tab/>
      <w:t>Seminarrat</w:t>
    </w:r>
    <w:r w:rsidRPr="00902992">
      <w:rPr>
        <w:u w:val="single"/>
      </w:rPr>
      <w:tab/>
    </w:r>
    <w:r w:rsidR="00420784">
      <w:rPr>
        <w:u w:val="single"/>
      </w:rPr>
      <w:t>15.12.2015</w:t>
    </w:r>
  </w:p>
  <w:p w:rsidR="00902992" w:rsidRDefault="0090299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61E6A"/>
    <w:multiLevelType w:val="hybridMultilevel"/>
    <w:tmpl w:val="1F78B4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055C2"/>
    <w:multiLevelType w:val="hybridMultilevel"/>
    <w:tmpl w:val="08F02C06"/>
    <w:lvl w:ilvl="0" w:tplc="3328D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92"/>
    <w:rsid w:val="00085516"/>
    <w:rsid w:val="00204CF9"/>
    <w:rsid w:val="00420784"/>
    <w:rsid w:val="005C0FAA"/>
    <w:rsid w:val="006B1E3A"/>
    <w:rsid w:val="00902992"/>
    <w:rsid w:val="009F246F"/>
    <w:rsid w:val="00DA0028"/>
    <w:rsid w:val="00F71FAE"/>
    <w:rsid w:val="00FC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92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99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992"/>
    <w:rPr>
      <w:rFonts w:eastAsia="Times New Roman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92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92"/>
    <w:pPr>
      <w:spacing w:line="240" w:lineRule="auto"/>
    </w:pPr>
    <w:rPr>
      <w:rFonts w:eastAsia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02992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02992"/>
    <w:rPr>
      <w:rFonts w:eastAsia="Times New Roman" w:cs="Times New Roman"/>
      <w:b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029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992"/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92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FE01293E.dotm</Template>
  <TotalTime>0</TotalTime>
  <Pages>2</Pages>
  <Words>486</Words>
  <Characters>3062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</dc:creator>
  <cp:lastModifiedBy>Reuß, Jutta (LSA GI)</cp:lastModifiedBy>
  <cp:revision>2</cp:revision>
  <dcterms:created xsi:type="dcterms:W3CDTF">2016-12-13T10:14:00Z</dcterms:created>
  <dcterms:modified xsi:type="dcterms:W3CDTF">2016-12-13T10:14:00Z</dcterms:modified>
</cp:coreProperties>
</file>